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25" w:rsidRDefault="00D00454">
      <w:r>
        <w:t>Indiana Limestone</w:t>
      </w:r>
    </w:p>
    <w:p w:rsidR="00D00454" w:rsidRDefault="00D00454"/>
    <w:p w:rsidR="00D00454" w:rsidRDefault="00D00454">
      <w:r>
        <w:rPr>
          <w:rFonts w:ascii="Arial" w:hAnsi="Arial" w:cs="Arial"/>
          <w:color w:val="444444"/>
          <w:sz w:val="17"/>
          <w:szCs w:val="17"/>
          <w:shd w:val="clear" w:color="auto" w:fill="FFFFFF"/>
        </w:rPr>
        <w:t xml:space="preserve">Law360, Wilmington (February 18, 2014, 9:36 PM ET) -- A Delaware bankruptcy judge accepted Tuesday the Chapter 11 petition of </w:t>
      </w:r>
      <w:proofErr w:type="spellStart"/>
      <w:r>
        <w:rPr>
          <w:rFonts w:ascii="Arial" w:hAnsi="Arial" w:cs="Arial"/>
          <w:color w:val="444444"/>
          <w:sz w:val="17"/>
          <w:szCs w:val="17"/>
          <w:shd w:val="clear" w:color="auto" w:fill="FFFFFF"/>
        </w:rPr>
        <w:t>quarrier</w:t>
      </w:r>
      <w:proofErr w:type="spellEnd"/>
      <w:r>
        <w:rPr>
          <w:rFonts w:ascii="Arial" w:hAnsi="Arial" w:cs="Arial"/>
          <w:color w:val="444444"/>
          <w:sz w:val="17"/>
          <w:szCs w:val="17"/>
          <w:shd w:val="clear" w:color="auto" w:fill="FFFFFF"/>
        </w:rPr>
        <w:t xml:space="preserve"> Victor </w:t>
      </w:r>
      <w:proofErr w:type="spellStart"/>
      <w:r>
        <w:rPr>
          <w:rFonts w:ascii="Arial" w:hAnsi="Arial" w:cs="Arial"/>
          <w:color w:val="444444"/>
          <w:sz w:val="17"/>
          <w:szCs w:val="17"/>
          <w:shd w:val="clear" w:color="auto" w:fill="FFFFFF"/>
        </w:rPr>
        <w:t>Oolitic</w:t>
      </w:r>
      <w:proofErr w:type="spellEnd"/>
      <w:r>
        <w:rPr>
          <w:rFonts w:ascii="Arial" w:hAnsi="Arial" w:cs="Arial"/>
          <w:color w:val="444444"/>
          <w:sz w:val="17"/>
          <w:szCs w:val="17"/>
          <w:shd w:val="clear" w:color="auto" w:fill="FFFFFF"/>
        </w:rPr>
        <w:t xml:space="preserve"> Stone Co., which does business as Indiana Limestone Co., giving interim approval to a $3.5 million debtor-in-possession loan to help fund a proposed $26 million stalking horse sale to secured lender Indiana Commercial Finance LLC.</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 xml:space="preserve">U.S. Bankruptcy Judge Christopher S. </w:t>
      </w:r>
      <w:proofErr w:type="spellStart"/>
      <w:r>
        <w:rPr>
          <w:rFonts w:ascii="Arial" w:hAnsi="Arial" w:cs="Arial"/>
          <w:color w:val="444444"/>
          <w:sz w:val="17"/>
          <w:szCs w:val="17"/>
          <w:shd w:val="clear" w:color="auto" w:fill="FFFFFF"/>
        </w:rPr>
        <w:t>Sontchi</w:t>
      </w:r>
      <w:proofErr w:type="spellEnd"/>
      <w:r>
        <w:rPr>
          <w:rFonts w:ascii="Arial" w:hAnsi="Arial" w:cs="Arial"/>
          <w:color w:val="444444"/>
          <w:sz w:val="17"/>
          <w:szCs w:val="17"/>
          <w:shd w:val="clear" w:color="auto" w:fill="FFFFFF"/>
        </w:rPr>
        <w:t xml:space="preserve"> also gave the interim green light to a slew of typical first-day motions, such as permission for Indiana Limestone to use its bank accounts and</w:t>
      </w:r>
      <w:r>
        <w:rPr>
          <w:rStyle w:val="apple-converted-space"/>
          <w:rFonts w:ascii="Arial" w:hAnsi="Arial" w:cs="Arial"/>
          <w:color w:val="444444"/>
          <w:sz w:val="17"/>
          <w:szCs w:val="17"/>
          <w:shd w:val="clear" w:color="auto" w:fill="FFFFFF"/>
        </w:rPr>
        <w:t> </w:t>
      </w:r>
      <w:hyperlink r:id="rId4" w:tooltip="Click to Continue &gt; by Plus-HD-4.8" w:history="1">
        <w:r>
          <w:rPr>
            <w:rStyle w:val="Hyperlink"/>
            <w:color w:val="00427F"/>
          </w:rPr>
          <w:t>continue</w:t>
        </w:r>
        <w:r>
          <w:rPr>
            <w:noProof/>
            <w:color w:val="00427F"/>
          </w:rPr>
          <w:drawing>
            <wp:inline distT="0" distB="0" distL="0" distR="0">
              <wp:extent cx="95250" cy="95250"/>
              <wp:effectExtent l="19050" t="0" r="0" b="0"/>
              <wp:docPr id="1" name="Picture 1" descr="http://cdncache-a.akamaihd.net/items/it/img/arrow-10x10.png">
                <a:hlinkClick xmlns:a="http://schemas.openxmlformats.org/drawingml/2006/main" r:id="rId4" tooltip="&quot;Click to Continue &gt; by Plus-HD-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ache-a.akamaihd.net/items/it/img/arrow-10x10.png">
                        <a:hlinkClick r:id="rId4" tooltip="&quot;Click to Continue &gt; by Plus-HD-4.8&quot;"/>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444444"/>
          <w:sz w:val="17"/>
          <w:szCs w:val="17"/>
          <w:shd w:val="clear" w:color="auto" w:fill="FFFFFF"/>
        </w:rPr>
        <w:t> </w:t>
      </w:r>
      <w:r>
        <w:rPr>
          <w:rFonts w:ascii="Arial" w:hAnsi="Arial" w:cs="Arial"/>
          <w:color w:val="444444"/>
          <w:sz w:val="17"/>
          <w:szCs w:val="17"/>
          <w:shd w:val="clear" w:color="auto" w:fill="FFFFFF"/>
        </w:rPr>
        <w:t>paying its nearly 140 employees, as the company hopes to make a speedy trip through the Chapter 11 process.</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The company, whose slabs of stone were used to build the Empire State Building, filed for Chapter 11 protection Monday, citing what its chief financial officer called “legacy balance sheet issues” from a 2010 merger that eventually led to reduced inventory and a lower profit margin, according to</w:t>
      </w:r>
      <w:r>
        <w:rPr>
          <w:rStyle w:val="apple-converted-space"/>
          <w:rFonts w:ascii="Arial" w:hAnsi="Arial" w:cs="Arial"/>
          <w:color w:val="444444"/>
          <w:sz w:val="17"/>
          <w:szCs w:val="17"/>
          <w:shd w:val="clear" w:color="auto" w:fill="FFFFFF"/>
        </w:rPr>
        <w:t> </w:t>
      </w:r>
      <w:hyperlink r:id="rId6" w:tooltip="Click to Continue &gt; by Plus-HD-4.8" w:history="1">
        <w:r>
          <w:rPr>
            <w:rStyle w:val="Hyperlink"/>
            <w:color w:val="00427F"/>
          </w:rPr>
          <w:t>court records</w:t>
        </w:r>
        <w:r>
          <w:rPr>
            <w:noProof/>
            <w:color w:val="00427F"/>
          </w:rPr>
          <w:drawing>
            <wp:inline distT="0" distB="0" distL="0" distR="0">
              <wp:extent cx="95250" cy="95250"/>
              <wp:effectExtent l="19050" t="0" r="0" b="0"/>
              <wp:docPr id="2" name="Picture 2" descr="http://cdncache-a.akamaihd.net/items/it/img/arrow-10x10.png">
                <a:hlinkClick xmlns:a="http://schemas.openxmlformats.org/drawingml/2006/main" r:id="rId6" tooltip="&quot;Click to Continue &gt; by Plus-HD-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a.akamaihd.net/items/it/img/arrow-10x10.png">
                        <a:hlinkClick r:id="rId6" tooltip="&quot;Click to Continue &gt; by Plus-HD-4.8&quot;"/>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Fonts w:ascii="Arial" w:hAnsi="Arial" w:cs="Arial"/>
          <w:color w:val="444444"/>
          <w:sz w:val="17"/>
          <w:szCs w:val="17"/>
          <w:shd w:val="clear" w:color="auto" w:fill="FFFFFF"/>
        </w:rPr>
        <w:t>.</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The debtor listed nearly $60 million in liabilities as of Jan. 1, $53 million of which from a secured prepetition</w:t>
      </w:r>
      <w:r>
        <w:rPr>
          <w:rStyle w:val="apple-converted-space"/>
          <w:rFonts w:ascii="Arial" w:hAnsi="Arial" w:cs="Arial"/>
          <w:color w:val="444444"/>
          <w:sz w:val="17"/>
          <w:szCs w:val="17"/>
          <w:shd w:val="clear" w:color="auto" w:fill="FFFFFF"/>
        </w:rPr>
        <w:t> </w:t>
      </w:r>
      <w:hyperlink r:id="rId7" w:tooltip="Click to Continue &gt; by Plus-HD-4.8" w:history="1">
        <w:r>
          <w:rPr>
            <w:rStyle w:val="Hyperlink"/>
            <w:color w:val="00427F"/>
          </w:rPr>
          <w:t>loan</w:t>
        </w:r>
        <w:r>
          <w:rPr>
            <w:noProof/>
            <w:color w:val="00427F"/>
          </w:rPr>
          <w:drawing>
            <wp:inline distT="0" distB="0" distL="0" distR="0">
              <wp:extent cx="95250" cy="95250"/>
              <wp:effectExtent l="19050" t="0" r="0" b="0"/>
              <wp:docPr id="3" name="Picture 3" descr="http://cdncache-a.akamaihd.net/items/it/img/arrow-10x10.png">
                <a:hlinkClick xmlns:a="http://schemas.openxmlformats.org/drawingml/2006/main" r:id="rId7" tooltip="&quot;Click to Continue &gt; by Plus-HD-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ache-a.akamaihd.net/items/it/img/arrow-10x10.png">
                        <a:hlinkClick r:id="rId7" tooltip="&quot;Click to Continue &gt; by Plus-HD-4.8&quot;"/>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444444"/>
          <w:sz w:val="17"/>
          <w:szCs w:val="17"/>
          <w:shd w:val="clear" w:color="auto" w:fill="FFFFFF"/>
        </w:rPr>
        <w:t> </w:t>
      </w:r>
      <w:r>
        <w:rPr>
          <w:rFonts w:ascii="Arial" w:hAnsi="Arial" w:cs="Arial"/>
          <w:color w:val="444444"/>
          <w:sz w:val="17"/>
          <w:szCs w:val="17"/>
          <w:shd w:val="clear" w:color="auto" w:fill="FFFFFF"/>
        </w:rPr>
        <w:t>from a group of lenders led by</w:t>
      </w:r>
      <w:r>
        <w:rPr>
          <w:rStyle w:val="apple-converted-space"/>
          <w:rFonts w:ascii="Arial" w:hAnsi="Arial" w:cs="Arial"/>
          <w:color w:val="444444"/>
          <w:sz w:val="17"/>
          <w:szCs w:val="17"/>
          <w:shd w:val="clear" w:color="auto" w:fill="FFFFFF"/>
        </w:rPr>
        <w:t> </w:t>
      </w:r>
      <w:hyperlink r:id="rId8" w:history="1">
        <w:r>
          <w:rPr>
            <w:rStyle w:val="Hyperlink"/>
            <w:rFonts w:ascii="Arial" w:hAnsi="Arial" w:cs="Arial"/>
            <w:color w:val="00427F"/>
            <w:sz w:val="17"/>
            <w:szCs w:val="17"/>
            <w:u w:val="none"/>
            <w:shd w:val="clear" w:color="auto" w:fill="FFFFFF"/>
          </w:rPr>
          <w:t>BMO Harris NA</w:t>
        </w:r>
      </w:hyperlink>
      <w:r>
        <w:rPr>
          <w:rFonts w:ascii="Arial" w:hAnsi="Arial" w:cs="Arial"/>
          <w:color w:val="444444"/>
          <w:sz w:val="17"/>
          <w:szCs w:val="17"/>
          <w:shd w:val="clear" w:color="auto" w:fill="FFFFFF"/>
        </w:rPr>
        <w:t>. About $6 million of the liabilities comes from outstanding unsecured notes owed to former owners of one of the premerger entities, as well as trade debt, according to the company's filings.</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 xml:space="preserve">“As the end of 2013 approached, it became clear to the debtors that they would be unable to fulfill their commitments under the prepetition credit agreement,” a bankruptcy declaration from CFO Terrence J. </w:t>
      </w:r>
      <w:proofErr w:type="spellStart"/>
      <w:r>
        <w:rPr>
          <w:rFonts w:ascii="Arial" w:hAnsi="Arial" w:cs="Arial"/>
          <w:color w:val="444444"/>
          <w:sz w:val="17"/>
          <w:szCs w:val="17"/>
          <w:shd w:val="clear" w:color="auto" w:fill="FFFFFF"/>
        </w:rPr>
        <w:t>Reutell</w:t>
      </w:r>
      <w:proofErr w:type="spellEnd"/>
      <w:r>
        <w:rPr>
          <w:rFonts w:ascii="Arial" w:hAnsi="Arial" w:cs="Arial"/>
          <w:color w:val="444444"/>
          <w:sz w:val="17"/>
          <w:szCs w:val="17"/>
          <w:shd w:val="clear" w:color="auto" w:fill="FFFFFF"/>
        </w:rPr>
        <w:t xml:space="preserve"> said. “The debtors determined to initiate these Chapter 11 proceedings with the goal of selling substantially all of their assets for the benefit of the debtors’ creditors.”</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To that end, Indiana Limestone began marketing itself in November and found that</w:t>
      </w:r>
      <w:r>
        <w:rPr>
          <w:rStyle w:val="apple-converted-space"/>
          <w:rFonts w:ascii="Arial" w:hAnsi="Arial" w:cs="Arial"/>
          <w:color w:val="444444"/>
          <w:sz w:val="17"/>
          <w:szCs w:val="17"/>
          <w:shd w:val="clear" w:color="auto" w:fill="FFFFFF"/>
        </w:rPr>
        <w:t> </w:t>
      </w:r>
      <w:hyperlink r:id="rId9" w:history="1">
        <w:r>
          <w:rPr>
            <w:rStyle w:val="Hyperlink"/>
            <w:rFonts w:ascii="Arial" w:hAnsi="Arial" w:cs="Arial"/>
            <w:color w:val="00427F"/>
            <w:sz w:val="17"/>
            <w:szCs w:val="17"/>
            <w:u w:val="none"/>
            <w:shd w:val="clear" w:color="auto" w:fill="FFFFFF"/>
          </w:rPr>
          <w:t>ICF</w:t>
        </w:r>
      </w:hyperlink>
      <w:r>
        <w:rPr>
          <w:rStyle w:val="apple-converted-space"/>
          <w:rFonts w:ascii="Arial" w:hAnsi="Arial" w:cs="Arial"/>
          <w:color w:val="444444"/>
          <w:sz w:val="17"/>
          <w:szCs w:val="17"/>
          <w:shd w:val="clear" w:color="auto" w:fill="FFFFFF"/>
        </w:rPr>
        <w:t> </w:t>
      </w:r>
      <w:r>
        <w:rPr>
          <w:rFonts w:ascii="Arial" w:hAnsi="Arial" w:cs="Arial"/>
          <w:color w:val="444444"/>
          <w:sz w:val="17"/>
          <w:szCs w:val="17"/>
          <w:shd w:val="clear" w:color="auto" w:fill="FFFFFF"/>
        </w:rPr>
        <w:t>made the best offer, according to the declaration.</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 xml:space="preserve">But instead of bidding on the company's assets, ICF purchased Indiana Limestone's </w:t>
      </w:r>
      <w:proofErr w:type="spellStart"/>
      <w:r>
        <w:rPr>
          <w:rFonts w:ascii="Arial" w:hAnsi="Arial" w:cs="Arial"/>
          <w:color w:val="444444"/>
          <w:sz w:val="17"/>
          <w:szCs w:val="17"/>
          <w:shd w:val="clear" w:color="auto" w:fill="FFFFFF"/>
        </w:rPr>
        <w:t>secured</w:t>
      </w:r>
      <w:hyperlink r:id="rId10" w:tooltip="Click to Continue &gt; by Plus-HD-4.8" w:history="1">
        <w:r>
          <w:rPr>
            <w:rStyle w:val="Hyperlink"/>
            <w:color w:val="00427F"/>
          </w:rPr>
          <w:t>loan</w:t>
        </w:r>
        <w:proofErr w:type="spellEnd"/>
        <w:r>
          <w:rPr>
            <w:noProof/>
            <w:color w:val="00427F"/>
          </w:rPr>
          <w:drawing>
            <wp:inline distT="0" distB="0" distL="0" distR="0">
              <wp:extent cx="95250" cy="95250"/>
              <wp:effectExtent l="19050" t="0" r="0" b="0"/>
              <wp:docPr id="4" name="Picture 4" descr="http://cdncache-a.akamaihd.net/items/it/img/arrow-10x10.png">
                <a:hlinkClick xmlns:a="http://schemas.openxmlformats.org/drawingml/2006/main" r:id="rId7" tooltip="&quot;Click to Continue &gt; by Plus-HD-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cache-a.akamaihd.net/items/it/img/arrow-10x10.png">
                        <a:hlinkClick r:id="rId7" tooltip="&quot;Click to Continue &gt; by Plus-HD-4.8&quot;"/>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444444"/>
          <w:sz w:val="17"/>
          <w:szCs w:val="17"/>
          <w:shd w:val="clear" w:color="auto" w:fill="FFFFFF"/>
        </w:rPr>
        <w:t> </w:t>
      </w:r>
      <w:r>
        <w:rPr>
          <w:rFonts w:ascii="Arial" w:hAnsi="Arial" w:cs="Arial"/>
          <w:color w:val="444444"/>
          <w:sz w:val="17"/>
          <w:szCs w:val="17"/>
          <w:shd w:val="clear" w:color="auto" w:fill="FFFFFF"/>
        </w:rPr>
        <w:t>rights, and the debtor then sought court protection to go through with a</w:t>
      </w:r>
      <w:r>
        <w:rPr>
          <w:rStyle w:val="apple-converted-space"/>
          <w:rFonts w:ascii="Arial" w:hAnsi="Arial" w:cs="Arial"/>
          <w:color w:val="444444"/>
          <w:sz w:val="17"/>
          <w:szCs w:val="17"/>
          <w:shd w:val="clear" w:color="auto" w:fill="FFFFFF"/>
        </w:rPr>
        <w:t> </w:t>
      </w:r>
      <w:hyperlink r:id="rId11" w:tooltip="Click to Continue &gt; by Plus-HD-4.8" w:history="1">
        <w:r>
          <w:rPr>
            <w:rStyle w:val="Hyperlink"/>
            <w:color w:val="00427F"/>
          </w:rPr>
          <w:t>bankruptcy auction</w:t>
        </w:r>
        <w:r>
          <w:rPr>
            <w:noProof/>
            <w:color w:val="00427F"/>
          </w:rPr>
          <w:drawing>
            <wp:inline distT="0" distB="0" distL="0" distR="0">
              <wp:extent cx="95250" cy="95250"/>
              <wp:effectExtent l="19050" t="0" r="0" b="0"/>
              <wp:docPr id="5" name="Picture 5" descr="http://cdncache-a.akamaihd.net/items/it/img/arrow-10x10.png">
                <a:hlinkClick xmlns:a="http://schemas.openxmlformats.org/drawingml/2006/main" r:id="rId7" tooltip="&quot;Click to Continue &gt; by Plus-HD-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cache-a.akamaihd.net/items/it/img/arrow-10x10.png">
                        <a:hlinkClick r:id="rId7" tooltip="&quot;Click to Continue &gt; by Plus-HD-4.8&quot;"/>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Fonts w:ascii="Arial" w:hAnsi="Arial" w:cs="Arial"/>
          <w:color w:val="444444"/>
          <w:sz w:val="17"/>
          <w:szCs w:val="17"/>
          <w:shd w:val="clear" w:color="auto" w:fill="FFFFFF"/>
        </w:rPr>
        <w:t>, the declaration states.</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Indiana Limestone traces its origin to the mid-19th century, beginning as a supplier of raw block limestone and growing into one of the leading producers of the mineral in North America, according to its filings.</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Along with Empire State Building, stone from Indiana Limestone also contributed to the construction the Pentagon, the Washington National Cathedral and 35 of the 50 state capitols, according to the company's website.</w:t>
      </w:r>
      <w:r>
        <w:rPr>
          <w:rFonts w:ascii="Arial" w:hAnsi="Arial" w:cs="Arial"/>
          <w:color w:val="444444"/>
          <w:sz w:val="17"/>
          <w:szCs w:val="17"/>
        </w:rPr>
        <w:br/>
      </w:r>
      <w:r>
        <w:rPr>
          <w:rFonts w:ascii="Arial" w:hAnsi="Arial" w:cs="Arial"/>
          <w:color w:val="444444"/>
          <w:sz w:val="17"/>
          <w:szCs w:val="17"/>
        </w:rPr>
        <w:br/>
      </w:r>
      <w:proofErr w:type="gramStart"/>
      <w:r>
        <w:rPr>
          <w:rFonts w:ascii="Arial" w:hAnsi="Arial" w:cs="Arial"/>
          <w:color w:val="444444"/>
          <w:sz w:val="17"/>
          <w:szCs w:val="17"/>
          <w:shd w:val="clear" w:color="auto" w:fill="FFFFFF"/>
        </w:rPr>
        <w:t>It's</w:t>
      </w:r>
      <w:proofErr w:type="gramEnd"/>
      <w:r>
        <w:rPr>
          <w:rFonts w:ascii="Arial" w:hAnsi="Arial" w:cs="Arial"/>
          <w:color w:val="444444"/>
          <w:sz w:val="17"/>
          <w:szCs w:val="17"/>
          <w:shd w:val="clear" w:color="auto" w:fill="FFFFFF"/>
        </w:rPr>
        <w:t xml:space="preserve"> current corporate structure was born when the original Victor </w:t>
      </w:r>
      <w:proofErr w:type="spellStart"/>
      <w:r>
        <w:rPr>
          <w:rFonts w:ascii="Arial" w:hAnsi="Arial" w:cs="Arial"/>
          <w:color w:val="444444"/>
          <w:sz w:val="17"/>
          <w:szCs w:val="17"/>
          <w:shd w:val="clear" w:color="auto" w:fill="FFFFFF"/>
        </w:rPr>
        <w:t>Oolitic</w:t>
      </w:r>
      <w:proofErr w:type="spellEnd"/>
      <w:r>
        <w:rPr>
          <w:rFonts w:ascii="Arial" w:hAnsi="Arial" w:cs="Arial"/>
          <w:color w:val="444444"/>
          <w:sz w:val="17"/>
          <w:szCs w:val="17"/>
          <w:shd w:val="clear" w:color="auto" w:fill="FFFFFF"/>
        </w:rPr>
        <w:t xml:space="preserve"> Stone Co., which was formed in 1897, was purchased out of a different bankruptcy. The new owners acquired the original Indiana Limestone Co., which itself was formed in 1924 out of a merger of 24 corporations, in 2010, creating the current form of the company, according to the declaration.</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The company now owns 10 quarry sites over a total area of about 4,000 acres that hold well in excess of 100 years worth of limestone reserves, the declaration said.</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 xml:space="preserve">Also filing for Chapter 11 with the operating company is Indiana Limestone's holding company parent, Victor </w:t>
      </w:r>
      <w:proofErr w:type="spellStart"/>
      <w:r>
        <w:rPr>
          <w:rFonts w:ascii="Arial" w:hAnsi="Arial" w:cs="Arial"/>
          <w:color w:val="444444"/>
          <w:sz w:val="17"/>
          <w:szCs w:val="17"/>
          <w:shd w:val="clear" w:color="auto" w:fill="FFFFFF"/>
        </w:rPr>
        <w:t>Oolitic</w:t>
      </w:r>
      <w:proofErr w:type="spellEnd"/>
      <w:r>
        <w:rPr>
          <w:rFonts w:ascii="Arial" w:hAnsi="Arial" w:cs="Arial"/>
          <w:color w:val="444444"/>
          <w:sz w:val="17"/>
          <w:szCs w:val="17"/>
          <w:shd w:val="clear" w:color="auto" w:fill="FFFFFF"/>
        </w:rPr>
        <w:t xml:space="preserve"> Stone Holdings Inc. Both of those entities are owned by North Coast Minerals LLC, which is not a debtor in the case, according to filing.</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 xml:space="preserve">Judge </w:t>
      </w:r>
      <w:proofErr w:type="spellStart"/>
      <w:r>
        <w:rPr>
          <w:rFonts w:ascii="Arial" w:hAnsi="Arial" w:cs="Arial"/>
          <w:color w:val="444444"/>
          <w:sz w:val="17"/>
          <w:szCs w:val="17"/>
          <w:shd w:val="clear" w:color="auto" w:fill="FFFFFF"/>
        </w:rPr>
        <w:t>Sontchi</w:t>
      </w:r>
      <w:proofErr w:type="spellEnd"/>
      <w:r>
        <w:rPr>
          <w:rFonts w:ascii="Arial" w:hAnsi="Arial" w:cs="Arial"/>
          <w:color w:val="444444"/>
          <w:sz w:val="17"/>
          <w:szCs w:val="17"/>
          <w:shd w:val="clear" w:color="auto" w:fill="FFFFFF"/>
        </w:rPr>
        <w:t xml:space="preserve"> is expected to consider the</w:t>
      </w:r>
      <w:r>
        <w:rPr>
          <w:rStyle w:val="apple-converted-space"/>
          <w:rFonts w:ascii="Arial" w:hAnsi="Arial" w:cs="Arial"/>
          <w:color w:val="444444"/>
          <w:sz w:val="17"/>
          <w:szCs w:val="17"/>
          <w:shd w:val="clear" w:color="auto" w:fill="FFFFFF"/>
        </w:rPr>
        <w:t> </w:t>
      </w:r>
      <w:hyperlink r:id="rId12" w:tooltip="Click to Continue &gt; by Plus-HD-4.8" w:history="1">
        <w:r>
          <w:rPr>
            <w:rStyle w:val="Hyperlink"/>
            <w:color w:val="00427F"/>
          </w:rPr>
          <w:t>bid procedures</w:t>
        </w:r>
        <w:r>
          <w:rPr>
            <w:noProof/>
            <w:color w:val="00427F"/>
          </w:rPr>
          <w:drawing>
            <wp:inline distT="0" distB="0" distL="0" distR="0">
              <wp:extent cx="95250" cy="95250"/>
              <wp:effectExtent l="19050" t="0" r="0" b="0"/>
              <wp:docPr id="6" name="Picture 6" descr="http://cdncache-a.akamaihd.net/items/it/img/arrow-10x10.png">
                <a:hlinkClick xmlns:a="http://schemas.openxmlformats.org/drawingml/2006/main" r:id="rId7" tooltip="&quot;Click to Continue &gt; by Plus-HD-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cache-a.akamaihd.net/items/it/img/arrow-10x10.png">
                        <a:hlinkClick r:id="rId7" tooltip="&quot;Click to Continue &gt; by Plus-HD-4.8&quot;"/>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Fonts w:ascii="Arial" w:hAnsi="Arial" w:cs="Arial"/>
          <w:color w:val="444444"/>
          <w:sz w:val="17"/>
          <w:szCs w:val="17"/>
          <w:shd w:val="clear" w:color="auto" w:fill="FFFFFF"/>
        </w:rPr>
        <w:t>, as well as final approval of the DIP loan in March.</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t xml:space="preserve">Indiana Limestone is represented by Derek C. Abbott and Andrew R. </w:t>
      </w:r>
      <w:proofErr w:type="spellStart"/>
      <w:r>
        <w:rPr>
          <w:rFonts w:ascii="Arial" w:hAnsi="Arial" w:cs="Arial"/>
          <w:color w:val="444444"/>
          <w:sz w:val="17"/>
          <w:szCs w:val="17"/>
          <w:shd w:val="clear" w:color="auto" w:fill="FFFFFF"/>
        </w:rPr>
        <w:t>Remming</w:t>
      </w:r>
      <w:proofErr w:type="spellEnd"/>
      <w:r>
        <w:rPr>
          <w:rFonts w:ascii="Arial" w:hAnsi="Arial" w:cs="Arial"/>
          <w:color w:val="444444"/>
          <w:sz w:val="17"/>
          <w:szCs w:val="17"/>
          <w:shd w:val="clear" w:color="auto" w:fill="FFFFFF"/>
        </w:rPr>
        <w:t xml:space="preserve"> of</w:t>
      </w:r>
      <w:r>
        <w:rPr>
          <w:rStyle w:val="apple-converted-space"/>
          <w:rFonts w:ascii="Arial" w:hAnsi="Arial" w:cs="Arial"/>
          <w:color w:val="444444"/>
          <w:sz w:val="17"/>
          <w:szCs w:val="17"/>
          <w:shd w:val="clear" w:color="auto" w:fill="FFFFFF"/>
        </w:rPr>
        <w:t> </w:t>
      </w:r>
      <w:hyperlink r:id="rId13" w:history="1">
        <w:r>
          <w:rPr>
            <w:rStyle w:val="Hyperlink"/>
            <w:rFonts w:ascii="Arial" w:hAnsi="Arial" w:cs="Arial"/>
            <w:color w:val="00427F"/>
            <w:sz w:val="17"/>
            <w:szCs w:val="17"/>
            <w:u w:val="none"/>
            <w:shd w:val="clear" w:color="auto" w:fill="FFFFFF"/>
          </w:rPr>
          <w:t xml:space="preserve">Morris Nichols </w:t>
        </w:r>
        <w:proofErr w:type="spellStart"/>
        <w:r>
          <w:rPr>
            <w:rStyle w:val="Hyperlink"/>
            <w:rFonts w:ascii="Arial" w:hAnsi="Arial" w:cs="Arial"/>
            <w:color w:val="00427F"/>
            <w:sz w:val="17"/>
            <w:szCs w:val="17"/>
            <w:u w:val="none"/>
            <w:shd w:val="clear" w:color="auto" w:fill="FFFFFF"/>
          </w:rPr>
          <w:t>Arsht</w:t>
        </w:r>
        <w:proofErr w:type="spellEnd"/>
        <w:r>
          <w:rPr>
            <w:rStyle w:val="Hyperlink"/>
            <w:rFonts w:ascii="Arial" w:hAnsi="Arial" w:cs="Arial"/>
            <w:color w:val="00427F"/>
            <w:sz w:val="17"/>
            <w:szCs w:val="17"/>
            <w:u w:val="none"/>
            <w:shd w:val="clear" w:color="auto" w:fill="FFFFFF"/>
          </w:rPr>
          <w:t xml:space="preserve"> &amp; </w:t>
        </w:r>
        <w:proofErr w:type="spellStart"/>
        <w:r>
          <w:rPr>
            <w:rStyle w:val="Hyperlink"/>
            <w:rFonts w:ascii="Arial" w:hAnsi="Arial" w:cs="Arial"/>
            <w:color w:val="00427F"/>
            <w:sz w:val="17"/>
            <w:szCs w:val="17"/>
            <w:u w:val="none"/>
            <w:shd w:val="clear" w:color="auto" w:fill="FFFFFF"/>
          </w:rPr>
          <w:t>Tunnell</w:t>
        </w:r>
        <w:proofErr w:type="spellEnd"/>
        <w:r>
          <w:rPr>
            <w:rStyle w:val="Hyperlink"/>
            <w:rFonts w:ascii="Arial" w:hAnsi="Arial" w:cs="Arial"/>
            <w:color w:val="00427F"/>
            <w:sz w:val="17"/>
            <w:szCs w:val="17"/>
            <w:u w:val="none"/>
            <w:shd w:val="clear" w:color="auto" w:fill="FFFFFF"/>
          </w:rPr>
          <w:t xml:space="preserve"> LLP</w:t>
        </w:r>
      </w:hyperlink>
      <w:r>
        <w:rPr>
          <w:rFonts w:ascii="Arial" w:hAnsi="Arial" w:cs="Arial"/>
          <w:color w:val="444444"/>
          <w:sz w:val="17"/>
          <w:szCs w:val="17"/>
          <w:shd w:val="clear" w:color="auto" w:fill="FFFFFF"/>
        </w:rPr>
        <w:t xml:space="preserve">, as well as Shawn M. Riley, Paul W. </w:t>
      </w:r>
      <w:proofErr w:type="spellStart"/>
      <w:r>
        <w:rPr>
          <w:rFonts w:ascii="Arial" w:hAnsi="Arial" w:cs="Arial"/>
          <w:color w:val="444444"/>
          <w:sz w:val="17"/>
          <w:szCs w:val="17"/>
          <w:shd w:val="clear" w:color="auto" w:fill="FFFFFF"/>
        </w:rPr>
        <w:t>Linehan</w:t>
      </w:r>
      <w:proofErr w:type="spellEnd"/>
      <w:r>
        <w:rPr>
          <w:rFonts w:ascii="Arial" w:hAnsi="Arial" w:cs="Arial"/>
          <w:color w:val="444444"/>
          <w:sz w:val="17"/>
          <w:szCs w:val="17"/>
          <w:shd w:val="clear" w:color="auto" w:fill="FFFFFF"/>
        </w:rPr>
        <w:t xml:space="preserve"> and T. Daniel Reynolds of</w:t>
      </w:r>
      <w:r>
        <w:rPr>
          <w:rStyle w:val="apple-converted-space"/>
          <w:rFonts w:ascii="Arial" w:hAnsi="Arial" w:cs="Arial"/>
          <w:color w:val="444444"/>
          <w:sz w:val="17"/>
          <w:szCs w:val="17"/>
          <w:shd w:val="clear" w:color="auto" w:fill="FFFFFF"/>
        </w:rPr>
        <w:t> </w:t>
      </w:r>
      <w:hyperlink r:id="rId14" w:history="1">
        <w:r>
          <w:rPr>
            <w:rStyle w:val="Hyperlink"/>
            <w:rFonts w:ascii="Arial" w:hAnsi="Arial" w:cs="Arial"/>
            <w:color w:val="00427F"/>
            <w:sz w:val="17"/>
            <w:szCs w:val="17"/>
            <w:u w:val="none"/>
            <w:shd w:val="clear" w:color="auto" w:fill="FFFFFF"/>
          </w:rPr>
          <w:t>McDonald Hopkins LLC</w:t>
        </w:r>
      </w:hyperlink>
      <w:r>
        <w:rPr>
          <w:rFonts w:ascii="Arial" w:hAnsi="Arial" w:cs="Arial"/>
          <w:color w:val="444444"/>
          <w:sz w:val="17"/>
          <w:szCs w:val="17"/>
          <w:shd w:val="clear" w:color="auto" w:fill="FFFFFF"/>
        </w:rPr>
        <w:t>.</w:t>
      </w:r>
      <w:r>
        <w:rPr>
          <w:rFonts w:ascii="Arial" w:hAnsi="Arial" w:cs="Arial"/>
          <w:color w:val="444444"/>
          <w:sz w:val="17"/>
          <w:szCs w:val="17"/>
        </w:rPr>
        <w:br/>
      </w:r>
      <w:r>
        <w:rPr>
          <w:rFonts w:ascii="Arial" w:hAnsi="Arial" w:cs="Arial"/>
          <w:color w:val="444444"/>
          <w:sz w:val="17"/>
          <w:szCs w:val="17"/>
        </w:rPr>
        <w:br/>
      </w:r>
      <w:r>
        <w:rPr>
          <w:rFonts w:ascii="Arial" w:hAnsi="Arial" w:cs="Arial"/>
          <w:color w:val="444444"/>
          <w:sz w:val="17"/>
          <w:szCs w:val="17"/>
          <w:shd w:val="clear" w:color="auto" w:fill="FFFFFF"/>
        </w:rPr>
        <w:lastRenderedPageBreak/>
        <w:t xml:space="preserve">The case is In re: Victor </w:t>
      </w:r>
      <w:proofErr w:type="spellStart"/>
      <w:r>
        <w:rPr>
          <w:rFonts w:ascii="Arial" w:hAnsi="Arial" w:cs="Arial"/>
          <w:color w:val="444444"/>
          <w:sz w:val="17"/>
          <w:szCs w:val="17"/>
          <w:shd w:val="clear" w:color="auto" w:fill="FFFFFF"/>
        </w:rPr>
        <w:t>Oolitic</w:t>
      </w:r>
      <w:proofErr w:type="spellEnd"/>
      <w:r>
        <w:rPr>
          <w:rFonts w:ascii="Arial" w:hAnsi="Arial" w:cs="Arial"/>
          <w:color w:val="444444"/>
          <w:sz w:val="17"/>
          <w:szCs w:val="17"/>
          <w:shd w:val="clear" w:color="auto" w:fill="FFFFFF"/>
        </w:rPr>
        <w:t xml:space="preserve"> Stone Co., case number 1:14-</w:t>
      </w:r>
      <w:proofErr w:type="gramStart"/>
      <w:r>
        <w:rPr>
          <w:rFonts w:ascii="Arial" w:hAnsi="Arial" w:cs="Arial"/>
          <w:color w:val="444444"/>
          <w:sz w:val="17"/>
          <w:szCs w:val="17"/>
          <w:shd w:val="clear" w:color="auto" w:fill="FFFFFF"/>
        </w:rPr>
        <w:t>bk-</w:t>
      </w:r>
      <w:proofErr w:type="gramEnd"/>
      <w:r>
        <w:rPr>
          <w:rFonts w:ascii="Arial" w:hAnsi="Arial" w:cs="Arial"/>
          <w:color w:val="444444"/>
          <w:sz w:val="17"/>
          <w:szCs w:val="17"/>
          <w:shd w:val="clear" w:color="auto" w:fill="FFFFFF"/>
        </w:rPr>
        <w:t>10311 in the U.S. Bankruptcy Court for the District of Delaware.</w:t>
      </w:r>
    </w:p>
    <w:sectPr w:rsidR="00D00454" w:rsidSect="001665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D00454"/>
    <w:rsid w:val="00166525"/>
    <w:rsid w:val="00D00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0454"/>
  </w:style>
  <w:style w:type="character" w:styleId="Hyperlink">
    <w:name w:val="Hyperlink"/>
    <w:basedOn w:val="DefaultParagraphFont"/>
    <w:uiPriority w:val="99"/>
    <w:semiHidden/>
    <w:unhideWhenUsed/>
    <w:rsid w:val="00D00454"/>
    <w:rPr>
      <w:color w:val="0000FF"/>
      <w:u w:val="single"/>
    </w:rPr>
  </w:style>
  <w:style w:type="paragraph" w:styleId="BalloonText">
    <w:name w:val="Balloon Text"/>
    <w:basedOn w:val="Normal"/>
    <w:link w:val="BalloonTextChar"/>
    <w:uiPriority w:val="99"/>
    <w:semiHidden/>
    <w:unhideWhenUsed/>
    <w:rsid w:val="00D00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360.com/companies/bmo-financial-group" TargetMode="External"/><Relationship Id="rId13" Type="http://schemas.openxmlformats.org/officeDocument/2006/relationships/hyperlink" Target="http://www.law360.com/firms/morris-nichols" TargetMode="External"/><Relationship Id="rId3" Type="http://schemas.openxmlformats.org/officeDocument/2006/relationships/webSettings" Target="webSettings.xml"/><Relationship Id="rId7" Type="http://schemas.openxmlformats.org/officeDocument/2006/relationships/hyperlink" Target="http://www.law360.com/articles/510855" TargetMode="External"/><Relationship Id="rId12" Type="http://schemas.openxmlformats.org/officeDocument/2006/relationships/hyperlink" Target="http://www.law360.com/articles/5108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aw360.com/articles/510855" TargetMode="External"/><Relationship Id="rId11" Type="http://schemas.openxmlformats.org/officeDocument/2006/relationships/hyperlink" Target="http://www.law360.com/articles/51085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law360.com/articles/510855" TargetMode="External"/><Relationship Id="rId4" Type="http://schemas.openxmlformats.org/officeDocument/2006/relationships/hyperlink" Target="http://www.law360.com/articles/510855" TargetMode="External"/><Relationship Id="rId9" Type="http://schemas.openxmlformats.org/officeDocument/2006/relationships/hyperlink" Target="http://www.law360.com/companies/icf-international-inc" TargetMode="External"/><Relationship Id="rId14" Type="http://schemas.openxmlformats.org/officeDocument/2006/relationships/hyperlink" Target="http://www.law360.com/firms/mcdonald-hop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Newsroom</dc:creator>
  <cp:lastModifiedBy>Newsroom</cp:lastModifiedBy>
  <cp:revision>1</cp:revision>
  <dcterms:created xsi:type="dcterms:W3CDTF">2014-02-19T14:54:00Z</dcterms:created>
  <dcterms:modified xsi:type="dcterms:W3CDTF">2014-02-19T14:54:00Z</dcterms:modified>
</cp:coreProperties>
</file>